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30A1" w14:textId="77777777" w:rsidR="00D767BC" w:rsidRDefault="00D767BC" w:rsidP="00D767BC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E0E6529" wp14:editId="02C5C90C">
            <wp:extent cx="2055824" cy="1093061"/>
            <wp:effectExtent l="0" t="0" r="190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45" cy="11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EC50" w14:textId="77777777" w:rsidR="00D767BC" w:rsidRDefault="00D767BC" w:rsidP="007472D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23E7A73" w14:textId="1C4E0752" w:rsidR="007472DA" w:rsidRPr="00F6163C" w:rsidRDefault="007472DA" w:rsidP="007472D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TO: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F7001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 employees, Healthcare e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mployees, </w:t>
      </w:r>
      <w:r w:rsidR="003F7001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Nursing s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tudents, </w:t>
      </w:r>
      <w:r w:rsidR="003F7001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College </w:t>
      </w:r>
      <w:r w:rsidR="00CD687D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687D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95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="003F7001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tudents, 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Vendors and </w:t>
      </w:r>
      <w:r w:rsidR="00495B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bookmarkStart w:id="0" w:name="_GoBack"/>
      <w:bookmarkEnd w:id="0"/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thers </w:t>
      </w:r>
    </w:p>
    <w:p w14:paraId="15215B97" w14:textId="42DBF2B7" w:rsidR="008D3B10" w:rsidRPr="00F6163C" w:rsidRDefault="008D3B10" w:rsidP="007472D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FROM: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Margaret S. Clarke, General Counsel</w:t>
      </w:r>
      <w:r w:rsidR="00B42EF9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Eagle Forum of Alabama</w:t>
      </w:r>
    </w:p>
    <w:p w14:paraId="61EC825D" w14:textId="372065B0" w:rsidR="007472DA" w:rsidRPr="00F6163C" w:rsidRDefault="007472DA" w:rsidP="007472D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DATE: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September 1</w:t>
      </w:r>
      <w:r w:rsidR="00FA00D3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2021</w:t>
      </w:r>
    </w:p>
    <w:p w14:paraId="59648A13" w14:textId="3E1F84B5" w:rsidR="007472DA" w:rsidRPr="00F6163C" w:rsidRDefault="007472DA" w:rsidP="007472D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RE:</w:t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A27EE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State </w:t>
      </w:r>
      <w:r w:rsidR="00BE7281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Law Limits on</w:t>
      </w:r>
      <w:r w:rsidR="00234D1E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4675" w:rsidRPr="00F616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Vaccine Mandates</w:t>
      </w:r>
    </w:p>
    <w:p w14:paraId="24F9C823" w14:textId="14765195" w:rsidR="007472DA" w:rsidRPr="00F6163C" w:rsidRDefault="007472DA" w:rsidP="007472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D7FA3AC" w14:textId="41E22DE9" w:rsidR="007472DA" w:rsidRPr="00F6163C" w:rsidRDefault="00751984" w:rsidP="007472D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I.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472DA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STATE PROTECTIONS</w:t>
      </w:r>
    </w:p>
    <w:p w14:paraId="7BC2412D" w14:textId="77777777" w:rsidR="0043259A" w:rsidRPr="00F6163C" w:rsidRDefault="0043259A" w:rsidP="007472DA">
      <w:pPr>
        <w:rPr>
          <w:rFonts w:ascii="Times New Roman" w:hAnsi="Times New Roman" w:cs="Times New Roman"/>
          <w:b/>
          <w:sz w:val="28"/>
          <w:szCs w:val="28"/>
        </w:rPr>
      </w:pPr>
    </w:p>
    <w:p w14:paraId="0D4AFFE5" w14:textId="79569591" w:rsidR="00DD3662" w:rsidRPr="00F6163C" w:rsidRDefault="00714E0F" w:rsidP="007519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>accination information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, including COV</w:t>
      </w:r>
      <w:r w:rsidR="00C150D6" w:rsidRPr="00F6163C">
        <w:rPr>
          <w:rFonts w:ascii="Times New Roman" w:hAnsi="Times New Roman" w:cs="Times New Roman"/>
          <w:color w:val="000000"/>
          <w:sz w:val="28"/>
          <w:szCs w:val="28"/>
        </w:rPr>
        <w:t>ID-19 vaccine records,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is protected </w:t>
      </w:r>
      <w:r w:rsidR="00C150D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as confidential 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by the Alabama </w:t>
      </w:r>
      <w:r w:rsidR="00C150D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Vaccine 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Passport </w:t>
      </w:r>
      <w:r w:rsidR="004B0DF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Ban </w:t>
      </w:r>
      <w:r w:rsidR="00C150D6" w:rsidRPr="00F6163C">
        <w:rPr>
          <w:rFonts w:ascii="Times New Roman" w:hAnsi="Times New Roman" w:cs="Times New Roman"/>
          <w:color w:val="000000"/>
          <w:sz w:val="28"/>
          <w:szCs w:val="28"/>
        </w:rPr>
        <w:t>law (Act No. 2021-493</w:t>
      </w:r>
      <w:r w:rsidR="00DC6BF8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F5828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DC6BF8" w:rsidRPr="00F6163C">
        <w:rPr>
          <w:rFonts w:ascii="Times New Roman" w:hAnsi="Times New Roman" w:cs="Times New Roman"/>
          <w:color w:val="000000"/>
          <w:sz w:val="28"/>
          <w:szCs w:val="28"/>
        </w:rPr>
        <w:t>Act does much more than merely bar pr</w:t>
      </w:r>
      <w:r w:rsidR="00EF5828" w:rsidRPr="00F616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C6BF8" w:rsidRPr="00F6163C">
        <w:rPr>
          <w:rFonts w:ascii="Times New Roman" w:hAnsi="Times New Roman" w:cs="Times New Roman"/>
          <w:color w:val="000000"/>
          <w:sz w:val="28"/>
          <w:szCs w:val="28"/>
        </w:rPr>
        <w:t>vate business</w:t>
      </w:r>
      <w:r w:rsidR="00EF5828" w:rsidRPr="00F6163C"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="00DC6BF8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from refusing services for failure to provide va</w:t>
      </w:r>
      <w:r w:rsidR="00EF5828" w:rsidRPr="00F6163C">
        <w:rPr>
          <w:rFonts w:ascii="Times New Roman" w:hAnsi="Times New Roman" w:cs="Times New Roman"/>
          <w:color w:val="000000"/>
          <w:sz w:val="28"/>
          <w:szCs w:val="28"/>
        </w:rPr>
        <w:t>ccination information, as has been largely published</w:t>
      </w:r>
      <w:r w:rsidR="00F84037" w:rsidRPr="00F616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132B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It limits governments and educational institutions. COVID</w:t>
      </w:r>
      <w:r w:rsidR="004D2741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-19 </w:t>
      </w:r>
      <w:r w:rsidR="00560FFC" w:rsidRPr="00F6163C">
        <w:rPr>
          <w:rFonts w:ascii="Times New Roman" w:hAnsi="Times New Roman" w:cs="Times New Roman"/>
          <w:color w:val="000000"/>
          <w:sz w:val="28"/>
          <w:szCs w:val="28"/>
        </w:rPr>
        <w:t>vaccination information collected in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the state </w:t>
      </w:r>
      <w:r w:rsidR="004B0DF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health 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>immunization registry</w:t>
      </w:r>
      <w:r w:rsidR="00DD366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, under </w:t>
      </w:r>
      <w:r w:rsidR="00DD3662" w:rsidRPr="00F6163C">
        <w:rPr>
          <w:rFonts w:ascii="Times New Roman" w:hAnsi="Times New Roman" w:cs="Times New Roman"/>
          <w:smallCaps/>
          <w:color w:val="000000"/>
          <w:sz w:val="28"/>
          <w:szCs w:val="28"/>
        </w:rPr>
        <w:t>Ala. Code</w:t>
      </w:r>
      <w:r w:rsidR="00DD366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§§ 22-11B-1 and 2</w:t>
      </w:r>
      <w:r w:rsidR="00F84037" w:rsidRPr="00F6163C">
        <w:rPr>
          <w:rFonts w:ascii="Times New Roman" w:hAnsi="Times New Roman" w:cs="Times New Roman"/>
          <w:color w:val="000000"/>
          <w:sz w:val="28"/>
          <w:szCs w:val="28"/>
        </w:rPr>
        <w:t>, is also confidential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>. These laws protect your privacy and prevent discrimination</w:t>
      </w:r>
      <w:r w:rsidR="00DD366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against you for not sharing your vaccine history</w:t>
      </w:r>
      <w:r w:rsidR="0075198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71D2418" w14:textId="77777777" w:rsidR="00DD3662" w:rsidRPr="00F6163C" w:rsidRDefault="00DD3662" w:rsidP="007519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2475E2" w14:textId="1147B5FB" w:rsidR="00751984" w:rsidRPr="00F6163C" w:rsidRDefault="00751984" w:rsidP="0075198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Seek advice from your attorney before you </w:t>
      </w:r>
      <w:r w:rsidR="00397226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take a</w:t>
      </w:r>
      <w:r w:rsidR="002D3609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n unwanted</w:t>
      </w:r>
      <w:r w:rsidR="00397226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COVID-19 </w:t>
      </w:r>
      <w:r w:rsidR="0035439E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shot</w:t>
      </w:r>
      <w:r w:rsidR="00397226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or 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share your COVID-19 vaccination status with others. 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You might lose your right to object to sharing that information in the future.</w:t>
      </w:r>
    </w:p>
    <w:p w14:paraId="1FDC91B7" w14:textId="77777777" w:rsidR="00751984" w:rsidRPr="00F6163C" w:rsidRDefault="00751984" w:rsidP="007472DA">
      <w:pPr>
        <w:rPr>
          <w:rFonts w:ascii="Times New Roman" w:hAnsi="Times New Roman" w:cs="Times New Roman"/>
          <w:b/>
          <w:sz w:val="28"/>
          <w:szCs w:val="28"/>
        </w:rPr>
      </w:pPr>
    </w:p>
    <w:p w14:paraId="5027C1E3" w14:textId="6AA77523" w:rsidR="004B74D6" w:rsidRPr="00F6163C" w:rsidRDefault="00152D5F" w:rsidP="007472DA">
      <w:pPr>
        <w:rPr>
          <w:rFonts w:ascii="Times New Roman" w:hAnsi="Times New Roman" w:cs="Times New Roman"/>
          <w:b/>
          <w:sz w:val="28"/>
          <w:szCs w:val="28"/>
        </w:rPr>
      </w:pPr>
      <w:r w:rsidRPr="00F6163C">
        <w:rPr>
          <w:rFonts w:ascii="Times New Roman" w:hAnsi="Times New Roman" w:cs="Times New Roman"/>
          <w:b/>
          <w:sz w:val="28"/>
          <w:szCs w:val="28"/>
        </w:rPr>
        <w:t>II</w:t>
      </w:r>
      <w:r w:rsidR="00F45A57" w:rsidRPr="00F6163C">
        <w:rPr>
          <w:rFonts w:ascii="Times New Roman" w:hAnsi="Times New Roman" w:cs="Times New Roman"/>
          <w:b/>
          <w:sz w:val="28"/>
          <w:szCs w:val="28"/>
        </w:rPr>
        <w:t>.</w:t>
      </w:r>
      <w:r w:rsidR="00F45A57" w:rsidRPr="00F6163C">
        <w:rPr>
          <w:rFonts w:ascii="Times New Roman" w:hAnsi="Times New Roman" w:cs="Times New Roman"/>
          <w:b/>
          <w:sz w:val="28"/>
          <w:szCs w:val="28"/>
        </w:rPr>
        <w:tab/>
      </w:r>
      <w:r w:rsidR="004B74D6" w:rsidRPr="00F6163C">
        <w:rPr>
          <w:rFonts w:ascii="Times New Roman" w:hAnsi="Times New Roman" w:cs="Times New Roman"/>
          <w:b/>
          <w:sz w:val="28"/>
          <w:szCs w:val="28"/>
        </w:rPr>
        <w:t xml:space="preserve">ALABAMA </w:t>
      </w:r>
      <w:r w:rsidR="00CA4543" w:rsidRPr="00F6163C">
        <w:rPr>
          <w:rFonts w:ascii="Times New Roman" w:hAnsi="Times New Roman" w:cs="Times New Roman"/>
          <w:b/>
          <w:sz w:val="28"/>
          <w:szCs w:val="28"/>
        </w:rPr>
        <w:t xml:space="preserve">VACCINE </w:t>
      </w:r>
      <w:r w:rsidR="004B74D6" w:rsidRPr="00F6163C">
        <w:rPr>
          <w:rFonts w:ascii="Times New Roman" w:hAnsi="Times New Roman" w:cs="Times New Roman"/>
          <w:b/>
          <w:sz w:val="28"/>
          <w:szCs w:val="28"/>
        </w:rPr>
        <w:t xml:space="preserve">PASSPORT BAN </w:t>
      </w:r>
    </w:p>
    <w:p w14:paraId="4562FB22" w14:textId="77777777" w:rsidR="004B74D6" w:rsidRPr="00F6163C" w:rsidRDefault="004B74D6" w:rsidP="007472DA">
      <w:pPr>
        <w:rPr>
          <w:rFonts w:ascii="Times New Roman" w:hAnsi="Times New Roman" w:cs="Times New Roman"/>
          <w:b/>
          <w:sz w:val="28"/>
          <w:szCs w:val="28"/>
        </w:rPr>
      </w:pPr>
    </w:p>
    <w:p w14:paraId="49A3E3F2" w14:textId="41A123A3" w:rsidR="007472DA" w:rsidRPr="00F6163C" w:rsidRDefault="007472DA" w:rsidP="007472DA">
      <w:pPr>
        <w:rPr>
          <w:rFonts w:ascii="Times New Roman" w:hAnsi="Times New Roman" w:cs="Times New Roman"/>
          <w:sz w:val="28"/>
          <w:szCs w:val="28"/>
        </w:rPr>
      </w:pPr>
      <w:r w:rsidRPr="00F6163C">
        <w:rPr>
          <w:rFonts w:ascii="Times New Roman" w:hAnsi="Times New Roman" w:cs="Times New Roman"/>
          <w:sz w:val="28"/>
          <w:szCs w:val="28"/>
        </w:rPr>
        <w:t>A</w:t>
      </w:r>
      <w:r w:rsidR="002634FD" w:rsidRPr="00F6163C">
        <w:rPr>
          <w:rFonts w:ascii="Times New Roman" w:hAnsi="Times New Roman" w:cs="Times New Roman"/>
          <w:sz w:val="28"/>
          <w:szCs w:val="28"/>
        </w:rPr>
        <w:t xml:space="preserve">ttorney </w:t>
      </w:r>
      <w:r w:rsidRPr="00F6163C">
        <w:rPr>
          <w:rFonts w:ascii="Times New Roman" w:hAnsi="Times New Roman" w:cs="Times New Roman"/>
          <w:sz w:val="28"/>
          <w:szCs w:val="28"/>
        </w:rPr>
        <w:t>G</w:t>
      </w:r>
      <w:r w:rsidR="002634FD" w:rsidRPr="00F6163C">
        <w:rPr>
          <w:rFonts w:ascii="Times New Roman" w:hAnsi="Times New Roman" w:cs="Times New Roman"/>
          <w:sz w:val="28"/>
          <w:szCs w:val="28"/>
        </w:rPr>
        <w:t>eneral Steve</w:t>
      </w:r>
      <w:r w:rsidRPr="00F6163C">
        <w:rPr>
          <w:rFonts w:ascii="Times New Roman" w:hAnsi="Times New Roman" w:cs="Times New Roman"/>
          <w:sz w:val="28"/>
          <w:szCs w:val="28"/>
        </w:rPr>
        <w:t xml:space="preserve"> Marshall issued a Public Notice</w:t>
      </w:r>
      <w:r w:rsidR="00F74390" w:rsidRPr="00F6163C">
        <w:rPr>
          <w:rFonts w:ascii="Times New Roman" w:hAnsi="Times New Roman" w:cs="Times New Roman"/>
          <w:sz w:val="28"/>
          <w:szCs w:val="28"/>
        </w:rPr>
        <w:t xml:space="preserve"> </w:t>
      </w:r>
      <w:r w:rsidR="003156DE" w:rsidRPr="00F6163C">
        <w:rPr>
          <w:rFonts w:ascii="Times New Roman" w:hAnsi="Times New Roman" w:cs="Times New Roman"/>
          <w:sz w:val="28"/>
          <w:szCs w:val="28"/>
        </w:rPr>
        <w:t xml:space="preserve">this summer </w:t>
      </w:r>
      <w:r w:rsidR="00DB6FB6" w:rsidRPr="00F6163C">
        <w:rPr>
          <w:rFonts w:ascii="Times New Roman" w:hAnsi="Times New Roman" w:cs="Times New Roman"/>
          <w:sz w:val="28"/>
          <w:szCs w:val="28"/>
        </w:rPr>
        <w:t xml:space="preserve">in July </w:t>
      </w:r>
      <w:r w:rsidR="00F74390" w:rsidRPr="00F6163C">
        <w:rPr>
          <w:rFonts w:ascii="Times New Roman" w:hAnsi="Times New Roman" w:cs="Times New Roman"/>
          <w:sz w:val="28"/>
          <w:szCs w:val="28"/>
        </w:rPr>
        <w:t>(</w:t>
      </w:r>
      <w:r w:rsidR="00DB6FB6" w:rsidRPr="00F6163C">
        <w:rPr>
          <w:rFonts w:ascii="Times New Roman" w:hAnsi="Times New Roman" w:cs="Times New Roman"/>
          <w:sz w:val="28"/>
          <w:szCs w:val="28"/>
        </w:rPr>
        <w:t>PNJ</w:t>
      </w:r>
      <w:r w:rsidR="00F74390" w:rsidRPr="00F6163C">
        <w:rPr>
          <w:rFonts w:ascii="Times New Roman" w:hAnsi="Times New Roman" w:cs="Times New Roman"/>
          <w:sz w:val="28"/>
          <w:szCs w:val="28"/>
        </w:rPr>
        <w:t>)</w:t>
      </w:r>
      <w:r w:rsidRPr="00F6163C">
        <w:rPr>
          <w:rFonts w:ascii="Times New Roman" w:hAnsi="Times New Roman" w:cs="Times New Roman"/>
          <w:sz w:val="28"/>
          <w:szCs w:val="28"/>
        </w:rPr>
        <w:t xml:space="preserve">, </w:t>
      </w:r>
      <w:r w:rsidR="00FA56D0" w:rsidRPr="00F6163C">
        <w:rPr>
          <w:rFonts w:ascii="Times New Roman" w:hAnsi="Times New Roman" w:cs="Times New Roman"/>
          <w:sz w:val="28"/>
          <w:szCs w:val="28"/>
        </w:rPr>
        <w:t>which clarified</w:t>
      </w:r>
      <w:r w:rsidRPr="00F6163C">
        <w:rPr>
          <w:rFonts w:ascii="Times New Roman" w:hAnsi="Times New Roman" w:cs="Times New Roman"/>
          <w:sz w:val="28"/>
          <w:szCs w:val="28"/>
        </w:rPr>
        <w:t xml:space="preserve"> the scope of </w:t>
      </w:r>
      <w:r w:rsidR="00E859BE" w:rsidRPr="00F6163C">
        <w:rPr>
          <w:rFonts w:ascii="Times New Roman" w:hAnsi="Times New Roman" w:cs="Times New Roman"/>
          <w:sz w:val="28"/>
          <w:szCs w:val="28"/>
        </w:rPr>
        <w:t xml:space="preserve">the </w:t>
      </w:r>
      <w:r w:rsidRPr="00F6163C">
        <w:rPr>
          <w:rFonts w:ascii="Times New Roman" w:hAnsi="Times New Roman" w:cs="Times New Roman"/>
          <w:sz w:val="28"/>
          <w:szCs w:val="28"/>
        </w:rPr>
        <w:t xml:space="preserve">recently enacted Alabama </w:t>
      </w:r>
      <w:r w:rsidR="00CA4543" w:rsidRPr="00F6163C">
        <w:rPr>
          <w:rFonts w:ascii="Times New Roman" w:hAnsi="Times New Roman" w:cs="Times New Roman"/>
          <w:sz w:val="28"/>
          <w:szCs w:val="28"/>
        </w:rPr>
        <w:t xml:space="preserve">Vaccine </w:t>
      </w:r>
      <w:r w:rsidRPr="00F6163C">
        <w:rPr>
          <w:rFonts w:ascii="Times New Roman" w:hAnsi="Times New Roman" w:cs="Times New Roman"/>
          <w:sz w:val="28"/>
          <w:szCs w:val="28"/>
        </w:rPr>
        <w:t xml:space="preserve">Passport </w:t>
      </w:r>
      <w:r w:rsidR="00F45A57" w:rsidRPr="00F6163C">
        <w:rPr>
          <w:rFonts w:ascii="Times New Roman" w:hAnsi="Times New Roman" w:cs="Times New Roman"/>
          <w:sz w:val="28"/>
          <w:szCs w:val="28"/>
        </w:rPr>
        <w:t>Ban</w:t>
      </w:r>
      <w:r w:rsidRPr="00F6163C">
        <w:rPr>
          <w:rFonts w:ascii="Times New Roman" w:hAnsi="Times New Roman" w:cs="Times New Roman"/>
          <w:sz w:val="28"/>
          <w:szCs w:val="28"/>
        </w:rPr>
        <w:t xml:space="preserve">. He said </w:t>
      </w:r>
      <w:r w:rsidR="00CA4543" w:rsidRPr="00F6163C">
        <w:rPr>
          <w:rFonts w:ascii="Times New Roman" w:hAnsi="Times New Roman" w:cs="Times New Roman"/>
          <w:sz w:val="28"/>
          <w:szCs w:val="28"/>
        </w:rPr>
        <w:t xml:space="preserve">the </w:t>
      </w:r>
      <w:r w:rsidRPr="00F6163C">
        <w:rPr>
          <w:rFonts w:ascii="Times New Roman" w:hAnsi="Times New Roman" w:cs="Times New Roman"/>
          <w:sz w:val="28"/>
          <w:szCs w:val="28"/>
        </w:rPr>
        <w:t xml:space="preserve">Act accomplished four things: </w:t>
      </w:r>
    </w:p>
    <w:p w14:paraId="2F6C8B17" w14:textId="77777777" w:rsidR="007472DA" w:rsidRPr="00F6163C" w:rsidRDefault="007472DA" w:rsidP="007472DA">
      <w:pPr>
        <w:rPr>
          <w:rFonts w:ascii="Times New Roman" w:hAnsi="Times New Roman" w:cs="Times New Roman"/>
          <w:sz w:val="28"/>
          <w:szCs w:val="28"/>
        </w:rPr>
      </w:pPr>
    </w:p>
    <w:p w14:paraId="2043E5FC" w14:textId="4871AD37" w:rsidR="00404C26" w:rsidRPr="00F6163C" w:rsidRDefault="002634FD" w:rsidP="007472DA">
      <w:pPr>
        <w:ind w:left="720"/>
        <w:rPr>
          <w:rFonts w:ascii="Times New Roman" w:hAnsi="Times New Roman" w:cs="Times New Roman"/>
          <w:sz w:val="28"/>
          <w:szCs w:val="28"/>
        </w:rPr>
      </w:pPr>
      <w:r w:rsidRPr="00F6163C">
        <w:rPr>
          <w:rFonts w:ascii="Times New Roman" w:hAnsi="Times New Roman" w:cs="Times New Roman"/>
          <w:sz w:val="28"/>
          <w:szCs w:val="28"/>
        </w:rPr>
        <w:t>1.</w:t>
      </w:r>
      <w:r w:rsidRPr="00F6163C">
        <w:rPr>
          <w:rFonts w:ascii="Times New Roman" w:hAnsi="Times New Roman" w:cs="Times New Roman"/>
          <w:sz w:val="28"/>
          <w:szCs w:val="28"/>
        </w:rPr>
        <w:tab/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Section 1(a) </w:t>
      </w:r>
      <w:r w:rsidR="00BE7281" w:rsidRPr="00F6163C">
        <w:rPr>
          <w:rFonts w:ascii="Times New Roman" w:hAnsi="Times New Roman" w:cs="Times New Roman"/>
          <w:sz w:val="28"/>
          <w:szCs w:val="28"/>
        </w:rPr>
        <w:t>ba</w:t>
      </w:r>
      <w:r w:rsidR="00CE6B5A" w:rsidRPr="00F6163C">
        <w:rPr>
          <w:rFonts w:ascii="Times New Roman" w:hAnsi="Times New Roman" w:cs="Times New Roman"/>
          <w:sz w:val="28"/>
          <w:szCs w:val="28"/>
        </w:rPr>
        <w:t>r</w:t>
      </w:r>
      <w:r w:rsidR="00BE7281" w:rsidRPr="00F6163C">
        <w:rPr>
          <w:rFonts w:ascii="Times New Roman" w:hAnsi="Times New Roman" w:cs="Times New Roman"/>
          <w:sz w:val="28"/>
          <w:szCs w:val="28"/>
        </w:rPr>
        <w:t>s</w:t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 state and local governmental entities from issuing or requiring the publication or sharing of immunization records not otherwise required by law; </w:t>
      </w:r>
    </w:p>
    <w:p w14:paraId="4DD0D8CB" w14:textId="77777777" w:rsidR="00404C26" w:rsidRPr="00F6163C" w:rsidRDefault="00404C26" w:rsidP="007472D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9AFD0F4" w14:textId="74A994EA" w:rsidR="00404C26" w:rsidRPr="00F6163C" w:rsidRDefault="002634FD" w:rsidP="007472DA">
      <w:pPr>
        <w:ind w:left="720"/>
        <w:rPr>
          <w:rFonts w:ascii="Times New Roman" w:hAnsi="Times New Roman" w:cs="Times New Roman"/>
          <w:sz w:val="28"/>
          <w:szCs w:val="28"/>
        </w:rPr>
      </w:pPr>
      <w:r w:rsidRPr="00F6163C">
        <w:rPr>
          <w:rFonts w:ascii="Times New Roman" w:hAnsi="Times New Roman" w:cs="Times New Roman"/>
          <w:sz w:val="28"/>
          <w:szCs w:val="28"/>
        </w:rPr>
        <w:t>2.</w:t>
      </w:r>
      <w:r w:rsidRPr="00F6163C">
        <w:rPr>
          <w:rFonts w:ascii="Times New Roman" w:hAnsi="Times New Roman" w:cs="Times New Roman"/>
          <w:sz w:val="28"/>
          <w:szCs w:val="28"/>
        </w:rPr>
        <w:tab/>
      </w:r>
      <w:r w:rsidR="007472DA" w:rsidRPr="00F6163C">
        <w:rPr>
          <w:rFonts w:ascii="Times New Roman" w:hAnsi="Times New Roman" w:cs="Times New Roman"/>
          <w:sz w:val="28"/>
          <w:szCs w:val="28"/>
        </w:rPr>
        <w:t>Section</w:t>
      </w:r>
      <w:r w:rsidR="00404C26" w:rsidRPr="00F6163C">
        <w:rPr>
          <w:rFonts w:ascii="Times New Roman" w:hAnsi="Times New Roman" w:cs="Times New Roman"/>
          <w:sz w:val="28"/>
          <w:szCs w:val="28"/>
        </w:rPr>
        <w:t xml:space="preserve"> </w:t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1(b) </w:t>
      </w:r>
      <w:r w:rsidR="00BE7281" w:rsidRPr="00F6163C">
        <w:rPr>
          <w:rFonts w:ascii="Times New Roman" w:hAnsi="Times New Roman" w:cs="Times New Roman"/>
          <w:sz w:val="28"/>
          <w:szCs w:val="28"/>
        </w:rPr>
        <w:t>ba</w:t>
      </w:r>
      <w:r w:rsidR="00CE6B5A" w:rsidRPr="00F6163C">
        <w:rPr>
          <w:rFonts w:ascii="Times New Roman" w:hAnsi="Times New Roman" w:cs="Times New Roman"/>
          <w:sz w:val="28"/>
          <w:szCs w:val="28"/>
        </w:rPr>
        <w:t>r</w:t>
      </w:r>
      <w:r w:rsidR="00BE7281" w:rsidRPr="00F6163C">
        <w:rPr>
          <w:rFonts w:ascii="Times New Roman" w:hAnsi="Times New Roman" w:cs="Times New Roman"/>
          <w:sz w:val="28"/>
          <w:szCs w:val="28"/>
        </w:rPr>
        <w:t>s</w:t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 state and local governmental entities from requiring vaccination as a condition for receiving government services or for entry into a government building; </w:t>
      </w:r>
    </w:p>
    <w:p w14:paraId="38E4D84E" w14:textId="77777777" w:rsidR="00404C26" w:rsidRPr="00F6163C" w:rsidRDefault="00404C26" w:rsidP="007472D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E37CEAC" w14:textId="5452379C" w:rsidR="00404C26" w:rsidRPr="00F6163C" w:rsidRDefault="002634FD" w:rsidP="007472DA">
      <w:pPr>
        <w:ind w:left="720"/>
        <w:rPr>
          <w:rFonts w:ascii="Times New Roman" w:hAnsi="Times New Roman" w:cs="Times New Roman"/>
          <w:sz w:val="28"/>
          <w:szCs w:val="28"/>
        </w:rPr>
      </w:pPr>
      <w:r w:rsidRPr="00F6163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6163C">
        <w:rPr>
          <w:rFonts w:ascii="Times New Roman" w:hAnsi="Times New Roman" w:cs="Times New Roman"/>
          <w:sz w:val="28"/>
          <w:szCs w:val="28"/>
        </w:rPr>
        <w:tab/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Section 1(c) </w:t>
      </w:r>
      <w:r w:rsidR="00BE7281" w:rsidRPr="00F6163C">
        <w:rPr>
          <w:rFonts w:ascii="Times New Roman" w:hAnsi="Times New Roman" w:cs="Times New Roman"/>
          <w:sz w:val="28"/>
          <w:szCs w:val="28"/>
        </w:rPr>
        <w:t>ba</w:t>
      </w:r>
      <w:r w:rsidR="00CE6B5A" w:rsidRPr="00F6163C">
        <w:rPr>
          <w:rFonts w:ascii="Times New Roman" w:hAnsi="Times New Roman" w:cs="Times New Roman"/>
          <w:sz w:val="28"/>
          <w:szCs w:val="28"/>
        </w:rPr>
        <w:t>r</w:t>
      </w:r>
      <w:r w:rsidR="00BE7281" w:rsidRPr="00F6163C">
        <w:rPr>
          <w:rFonts w:ascii="Times New Roman" w:hAnsi="Times New Roman" w:cs="Times New Roman"/>
          <w:sz w:val="28"/>
          <w:szCs w:val="28"/>
        </w:rPr>
        <w:t>s</w:t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 institutions of education—both public and private—from requiring students to prove any new immunization status as a condition of attendance; and </w:t>
      </w:r>
    </w:p>
    <w:p w14:paraId="17B3272F" w14:textId="77777777" w:rsidR="00404C26" w:rsidRPr="00F6163C" w:rsidRDefault="00404C26" w:rsidP="007472D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220B277" w14:textId="485B50C5" w:rsidR="007472DA" w:rsidRPr="00F6163C" w:rsidRDefault="002634FD" w:rsidP="007472DA">
      <w:pPr>
        <w:ind w:left="720"/>
        <w:rPr>
          <w:rFonts w:ascii="Times New Roman" w:hAnsi="Times New Roman" w:cs="Times New Roman"/>
          <w:sz w:val="28"/>
          <w:szCs w:val="28"/>
        </w:rPr>
      </w:pPr>
      <w:r w:rsidRPr="00F6163C">
        <w:rPr>
          <w:rFonts w:ascii="Times New Roman" w:hAnsi="Times New Roman" w:cs="Times New Roman"/>
          <w:sz w:val="28"/>
          <w:szCs w:val="28"/>
        </w:rPr>
        <w:t>4.</w:t>
      </w:r>
      <w:r w:rsidRPr="00F6163C">
        <w:rPr>
          <w:rFonts w:ascii="Times New Roman" w:hAnsi="Times New Roman" w:cs="Times New Roman"/>
          <w:sz w:val="28"/>
          <w:szCs w:val="28"/>
        </w:rPr>
        <w:tab/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Section 1(d) </w:t>
      </w:r>
      <w:r w:rsidR="00BE7281" w:rsidRPr="00F6163C">
        <w:rPr>
          <w:rFonts w:ascii="Times New Roman" w:hAnsi="Times New Roman" w:cs="Times New Roman"/>
          <w:sz w:val="28"/>
          <w:szCs w:val="28"/>
        </w:rPr>
        <w:t>ba</w:t>
      </w:r>
      <w:r w:rsidR="00CE6B5A" w:rsidRPr="00F6163C">
        <w:rPr>
          <w:rFonts w:ascii="Times New Roman" w:hAnsi="Times New Roman" w:cs="Times New Roman"/>
          <w:sz w:val="28"/>
          <w:szCs w:val="28"/>
        </w:rPr>
        <w:t>r</w:t>
      </w:r>
      <w:r w:rsidR="00BE7281" w:rsidRPr="00F6163C">
        <w:rPr>
          <w:rFonts w:ascii="Times New Roman" w:hAnsi="Times New Roman" w:cs="Times New Roman"/>
          <w:sz w:val="28"/>
          <w:szCs w:val="28"/>
        </w:rPr>
        <w:t>s</w:t>
      </w:r>
      <w:r w:rsidR="007472DA" w:rsidRPr="00F6163C">
        <w:rPr>
          <w:rFonts w:ascii="Times New Roman" w:hAnsi="Times New Roman" w:cs="Times New Roman"/>
          <w:sz w:val="28"/>
          <w:szCs w:val="28"/>
        </w:rPr>
        <w:t xml:space="preserve"> businesses from refusing to provide goods or services, or refusing to allow admission, to an individual based on the customer’s immunization status or lack of immunization documentation. </w:t>
      </w:r>
    </w:p>
    <w:p w14:paraId="6B6B7983" w14:textId="77777777" w:rsidR="007472DA" w:rsidRPr="00F6163C" w:rsidRDefault="007472DA" w:rsidP="007472DA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5218137" w14:textId="4B1C6B8C" w:rsidR="007472DA" w:rsidRPr="00F6163C" w:rsidRDefault="007472DA" w:rsidP="00C7259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“In other words, no government, school, or business in Alabama may demand that a constituent, student, or customer, respectively, be vaccinated for </w:t>
      </w:r>
      <w:r w:rsidR="00D46DBF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COVID</w:t>
      </w:r>
      <w:r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-19 or show proof of his or her vaccination for </w:t>
      </w:r>
      <w:r w:rsidR="00D46DBF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COVID</w:t>
      </w:r>
      <w:r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-19. The law’s new protections are in addition to existing medical or religious-based exemptions from immunization…”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634FD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PNJ, p. 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="00C014EA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0D666ED" w14:textId="6196578D" w:rsidR="002D3609" w:rsidRPr="00F6163C" w:rsidRDefault="002D3609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FA99AA1" w14:textId="3661317B" w:rsidR="00000BEB" w:rsidRPr="00F6163C" w:rsidRDefault="00C72591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On the other hand, as the Attorney General noted, this Act does not prevent </w:t>
      </w:r>
      <w:r w:rsidR="006C4CAD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some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private business</w:t>
      </w:r>
      <w:r w:rsidR="006C4CAD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es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from requiring its employees to be vaccinated.</w:t>
      </w:r>
    </w:p>
    <w:p w14:paraId="327C6AC5" w14:textId="77777777" w:rsidR="00000BEB" w:rsidRPr="00F6163C" w:rsidRDefault="00000BEB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3D30554" w14:textId="16A71C70" w:rsidR="00F45A57" w:rsidRPr="00F6163C" w:rsidRDefault="004B74D6" w:rsidP="007472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C2182E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2182E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Prohibitions o</w:t>
      </w:r>
      <w:r w:rsidR="00152D5F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r w:rsidR="00C2182E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FA7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State </w:t>
      </w:r>
      <w:r w:rsidR="00C2182E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Vaccine Cards and </w:t>
      </w:r>
      <w:r w:rsidR="00D761F0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="00C2182E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haring Vaccine Information</w:t>
      </w:r>
    </w:p>
    <w:p w14:paraId="1BC31FE7" w14:textId="77777777" w:rsidR="00CB4654" w:rsidRPr="00F6163C" w:rsidRDefault="00CB4654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C8909F" w14:textId="5D853C50" w:rsidR="007472DA" w:rsidRPr="00F6163C" w:rsidRDefault="007472DA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Section 1(a) </w:t>
      </w:r>
      <w:r w:rsidR="00057F81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applies to state and local government </w:t>
      </w:r>
      <w:r w:rsidR="00243CD6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entities. It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is illegal for </w:t>
      </w:r>
      <w:r w:rsidR="00265A61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state</w:t>
      </w:r>
      <w:r w:rsidR="00243CD6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entities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issue </w:t>
      </w:r>
      <w:r w:rsidR="00265A61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COVID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-19 cards to document or certify “an individual” </w:t>
      </w:r>
      <w:r w:rsidR="0088093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COVID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-19 vaccination status. </w:t>
      </w:r>
      <w:r w:rsidR="007524B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Entities</w:t>
      </w:r>
      <w:r w:rsidR="00B13194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include </w:t>
      </w:r>
      <w:r w:rsidR="007524B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all </w:t>
      </w:r>
      <w:r w:rsidR="00B13194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public schools</w:t>
      </w:r>
      <w:r w:rsidR="007524B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 colleges</w:t>
      </w:r>
      <w:r w:rsidR="00153A3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6558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 public he</w:t>
      </w:r>
      <w:r w:rsidR="00C7701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althcare providers</w:t>
      </w:r>
      <w:r w:rsidR="007524B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0E2E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The definition of a</w:t>
      </w:r>
      <w:r w:rsidR="0061196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 </w:t>
      </w:r>
      <w:r w:rsidR="005E48B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61196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5E48B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ndividual” </w:t>
      </w:r>
      <w:r w:rsidR="0061196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is</w:t>
      </w:r>
      <w:r w:rsidR="005E48B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not </w:t>
      </w:r>
      <w:r w:rsidR="00A64645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limited</w:t>
      </w:r>
      <w:r w:rsidR="005E48B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under the Act. Therefore</w:t>
      </w:r>
      <w:r w:rsidR="00A64645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, individuals</w:t>
      </w:r>
      <w:r w:rsidR="005E48B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1DD3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include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48B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everyone</w:t>
      </w:r>
      <w:r w:rsidR="00D01D28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0A2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interacting</w:t>
      </w:r>
      <w:r w:rsidR="00D01D28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with </w:t>
      </w:r>
      <w:r w:rsidR="0061196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government</w:t>
      </w:r>
      <w:r w:rsidR="00D01D28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0A2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entit</w:t>
      </w:r>
      <w:r w:rsidR="0061196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ies</w:t>
      </w:r>
      <w:r w:rsidR="00801FD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03EA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and </w:t>
      </w:r>
      <w:r w:rsidR="005D27D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may include</w:t>
      </w:r>
      <w:r w:rsidR="00801FD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employees, </w:t>
      </w:r>
      <w:r w:rsidR="00D438CE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trainees, </w:t>
      </w:r>
      <w:r w:rsidR="00801FD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students, </w:t>
      </w:r>
      <w:r w:rsidR="00794E4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doctors</w:t>
      </w:r>
      <w:r w:rsidR="005D27D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with hospital privileges, </w:t>
      </w:r>
      <w:r w:rsidR="00794E4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volunteers, </w:t>
      </w:r>
      <w:r w:rsidR="005D27D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vendors, etc.</w:t>
      </w:r>
      <w:r w:rsidR="001328ED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7B1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It is also </w:t>
      </w:r>
      <w:r w:rsidR="0061196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unlawful</w:t>
      </w:r>
      <w:r w:rsidR="00297B17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for them to “require the publication or sharing” of COVID-19 vaccination information. </w:t>
      </w:r>
      <w:r w:rsidR="001328ED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Since a state or local entity cannot require proof of va</w:t>
      </w:r>
      <w:r w:rsidR="003317F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ccination, the </w:t>
      </w:r>
      <w:r w:rsidR="0061196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state </w:t>
      </w:r>
      <w:r w:rsidR="003317F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entity may </w:t>
      </w:r>
      <w:r w:rsidR="00CB4654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not treat a person differently fro</w:t>
      </w:r>
      <w:r w:rsidR="003B4784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m</w:t>
      </w:r>
      <w:r w:rsidR="00CB4654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others due to the failure to provide the information. In effect, the government may not impose a vaccine mandate</w:t>
      </w:r>
      <w:r w:rsidR="003317F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4E4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7680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PNJ p.</w:t>
      </w:r>
      <w:r w:rsidR="005D2165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2)</w:t>
      </w:r>
      <w:r w:rsidR="00C014EA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360F510" w14:textId="77777777" w:rsidR="007472DA" w:rsidRPr="00F6163C" w:rsidRDefault="007472DA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9A61D5C" w14:textId="5E6C3873" w:rsidR="007472DA" w:rsidRPr="00F6163C" w:rsidRDefault="007472DA" w:rsidP="007472DA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A4485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This means that a state or local government actor </w:t>
      </w:r>
      <w:r w:rsidR="00A44850" w:rsidRPr="00F616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may not release a list</w:t>
      </w:r>
      <w:r w:rsidR="00A44850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of those who have (or have not) received a vaccine and may not require an individual to show proof of his or her immunization status. 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By prohibiting the requirement of proof of immunization status, state and local governments are inherently prohibited from </w:t>
      </w:r>
      <w:r w:rsidRPr="00F616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discriminating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against an individual based upon his or her refusal to vaccinate against Covid-19 or to present immunization records.” (</w:t>
      </w:r>
      <w:r w:rsidR="00276802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PNJ p</w:t>
      </w:r>
      <w:r w:rsidR="000269D8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2)</w:t>
      </w:r>
      <w:r w:rsidR="00C014EA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4C13541" w14:textId="77777777" w:rsidR="007472DA" w:rsidRPr="00F6163C" w:rsidRDefault="007472DA" w:rsidP="007472DA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447A8F" w14:textId="6D19AD25" w:rsidR="00F12A46" w:rsidRPr="00F6163C" w:rsidRDefault="000C1C8C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As to w</w:t>
      </w:r>
      <w:r w:rsidR="00313DFA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h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ether an entity requiring vaccination information is part of a state or local government</w:t>
      </w:r>
      <w:r w:rsidR="00313DFA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6618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that</w:t>
      </w:r>
      <w:r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3DFA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question that should be addressed with your lawyer. </w:t>
      </w:r>
      <w:r w:rsidR="00F12A46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Attorney General </w:t>
      </w:r>
      <w:r w:rsidR="00BA617F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Steve Marshall sent a cease and desist letter to UAB Health System on September </w:t>
      </w:r>
      <w:r w:rsidR="00F12A46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12A46" w:rsidRPr="00F6163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="00F12A46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>, asking for clarification on the status of all UAB affiliates. See:</w:t>
      </w:r>
    </w:p>
    <w:p w14:paraId="395465A5" w14:textId="77777777" w:rsidR="00F12A46" w:rsidRPr="00F6163C" w:rsidRDefault="00F12A46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324C87D" w14:textId="1E304A4F" w:rsidR="007472DA" w:rsidRPr="00F6163C" w:rsidRDefault="00A56D39" w:rsidP="007472DA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F12A46" w:rsidRPr="00F6163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https://drive.google.com/file/d/1EpFcRbvDAYJEwSaWWAtulG4ktd7rOwwU/view</w:t>
        </w:r>
      </w:hyperlink>
      <w:r w:rsidR="00F12A46" w:rsidRPr="00F616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52C675B" w14:textId="77777777" w:rsidR="007472DA" w:rsidRPr="00F6163C" w:rsidRDefault="007472DA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4877441" w14:textId="3DCB8F80" w:rsidR="007026BA" w:rsidRPr="00F6163C" w:rsidRDefault="004B74D6" w:rsidP="00CB465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r w:rsidR="007026BA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026BA" w:rsidRPr="00F6163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6FFD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Prohibitions of Required </w:t>
      </w:r>
      <w:r w:rsidR="00235C70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Vaccines </w:t>
      </w:r>
      <w:r w:rsidR="000D6FFD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 </w:t>
      </w:r>
      <w:r w:rsidR="0087642F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State Services or Entry</w:t>
      </w:r>
    </w:p>
    <w:p w14:paraId="59A0D54A" w14:textId="77777777" w:rsidR="00397226" w:rsidRPr="00F6163C" w:rsidRDefault="00397226" w:rsidP="007472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860950" w14:textId="4746EDEE" w:rsidR="007472DA" w:rsidRPr="00F6163C" w:rsidRDefault="004E1A4B" w:rsidP="007472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In August</w:t>
      </w:r>
      <w:r w:rsidR="009B13D8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the Attorney General provided further guidance about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Section 1(b) </w:t>
      </w:r>
      <w:r w:rsidR="00880176" w:rsidRPr="00F6163C">
        <w:rPr>
          <w:rFonts w:ascii="Times New Roman" w:hAnsi="Times New Roman" w:cs="Times New Roman"/>
          <w:color w:val="000000"/>
          <w:sz w:val="28"/>
          <w:szCs w:val="28"/>
        </w:rPr>
        <w:t>of the Act</w:t>
      </w:r>
      <w:r w:rsidR="009B13D8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(PNA). He advised that</w:t>
      </w:r>
      <w:r w:rsidR="0088017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B7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>state and local government</w:t>
      </w:r>
      <w:r w:rsidR="00B34A15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entit</w:t>
      </w:r>
      <w:r w:rsidR="007028B7" w:rsidRPr="00F6163C">
        <w:rPr>
          <w:rFonts w:ascii="Times New Roman" w:hAnsi="Times New Roman" w:cs="Times New Roman"/>
          <w:color w:val="000000"/>
          <w:sz w:val="28"/>
          <w:szCs w:val="28"/>
        </w:rPr>
        <w:t>y is</w:t>
      </w:r>
      <w:r w:rsidR="003264F4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prevented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>from requiring an individual</w:t>
      </w:r>
      <w:r w:rsidR="0088017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to provide proof of vaccination in order to receive “any government service or for entry into a government building.” </w:t>
      </w:r>
      <w:r w:rsidR="007524B7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Services include </w:t>
      </w:r>
      <w:r w:rsidR="00AB067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public </w:t>
      </w:r>
      <w:r w:rsidR="007524B7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education. (See, </w:t>
      </w:r>
      <w:r w:rsidR="00CD687D" w:rsidRPr="00F6163C">
        <w:rPr>
          <w:rFonts w:ascii="Times New Roman" w:hAnsi="Times New Roman" w:cs="Times New Roman"/>
          <w:color w:val="000000"/>
          <w:sz w:val="28"/>
          <w:szCs w:val="28"/>
        </w:rPr>
        <w:t>PNA</w:t>
      </w:r>
      <w:r w:rsidR="00E515AB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p.</w:t>
      </w:r>
      <w:r w:rsidR="00C7701F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5AB" w:rsidRPr="00F6163C">
        <w:rPr>
          <w:rFonts w:ascii="Times New Roman" w:hAnsi="Times New Roman" w:cs="Times New Roman"/>
          <w:color w:val="000000"/>
          <w:sz w:val="28"/>
          <w:szCs w:val="28"/>
        </w:rPr>
        <w:t>2-4</w:t>
      </w:r>
      <w:r w:rsidR="001E63ED" w:rsidRPr="00F616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07D82" w:rsidRPr="00F616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24B7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34A15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state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="0005666A" w:rsidRPr="00F6163C">
        <w:rPr>
          <w:rFonts w:ascii="Times New Roman" w:hAnsi="Times New Roman" w:cs="Times New Roman"/>
          <w:color w:val="000000"/>
          <w:sz w:val="28"/>
          <w:szCs w:val="28"/>
        </w:rPr>
        <w:t>ntit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05666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05666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y issue vaccine policies, but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it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may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not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require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proof of vaccination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entrance into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a government building</w:t>
      </w:r>
      <w:r w:rsidR="000269D8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E0E" w:rsidRPr="00F6163C">
        <w:rPr>
          <w:rFonts w:ascii="Times New Roman" w:hAnsi="Times New Roman" w:cs="Times New Roman"/>
          <w:color w:val="000000"/>
          <w:sz w:val="28"/>
          <w:szCs w:val="28"/>
        </w:rPr>
        <w:t>thereby preventing</w:t>
      </w:r>
      <w:r w:rsidR="00B34A15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89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discrimination </w:t>
      </w:r>
      <w:r w:rsidR="000269D8" w:rsidRPr="00F6163C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04189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A15" w:rsidRPr="00F6163C">
        <w:rPr>
          <w:rFonts w:ascii="Times New Roman" w:hAnsi="Times New Roman" w:cs="Times New Roman"/>
          <w:color w:val="000000"/>
          <w:sz w:val="28"/>
          <w:szCs w:val="28"/>
        </w:rPr>
        <w:t>enforcement</w:t>
      </w:r>
      <w:r w:rsidR="0005666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E515AB" w:rsidRPr="00F6163C">
        <w:rPr>
          <w:rFonts w:ascii="Times New Roman" w:hAnsi="Times New Roman" w:cs="Times New Roman"/>
          <w:color w:val="000000"/>
          <w:sz w:val="28"/>
          <w:szCs w:val="28"/>
        </w:rPr>
        <w:t>August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public notice summarizes that “-</w:t>
      </w:r>
      <w:r w:rsidR="007472DA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these policies </w:t>
      </w:r>
      <w:r w:rsidR="007472DA" w:rsidRPr="00F616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could not be enforced</w:t>
      </w:r>
      <w:r w:rsidR="007472DA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against those who choose not to provide their immunization status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>.” (</w:t>
      </w:r>
      <w:r w:rsidR="00E515AB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PNA p.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1896" w:rsidRPr="00F616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8203A8B" w14:textId="77777777" w:rsidR="007472DA" w:rsidRPr="00F6163C" w:rsidRDefault="007472DA" w:rsidP="007472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52B7B41" w14:textId="730529A1" w:rsidR="00152D75" w:rsidRPr="00F6163C" w:rsidRDefault="004B74D6" w:rsidP="007472D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152D75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52D75" w:rsidRPr="00F6163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Prohibition of Vaccine Status </w:t>
      </w:r>
      <w:r w:rsidR="00152D5F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Required to Attend School</w:t>
      </w:r>
      <w:r w:rsidR="00152D75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DD35363" w14:textId="77777777" w:rsidR="00397226" w:rsidRPr="00F6163C" w:rsidRDefault="00397226" w:rsidP="007472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72E9B3" w14:textId="01DE8873" w:rsidR="007472DA" w:rsidRPr="00F6163C" w:rsidRDefault="001E63ED" w:rsidP="007472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ll students, </w:t>
      </w:r>
      <w:r w:rsidR="007472DA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both public and private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, have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additional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protections under Section 1(c). This section prevents “</w:t>
      </w:r>
      <w:r w:rsidR="00EE1ABE" w:rsidRPr="00F616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nstitutions of education” from requiring </w:t>
      </w:r>
      <w:r w:rsidR="005512B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“students” to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>pro</w:t>
      </w:r>
      <w:r w:rsidR="005512B2" w:rsidRPr="00F6163C">
        <w:rPr>
          <w:rFonts w:ascii="Times New Roman" w:hAnsi="Times New Roman" w:cs="Times New Roman"/>
          <w:color w:val="000000"/>
          <w:sz w:val="28"/>
          <w:szCs w:val="28"/>
        </w:rPr>
        <w:t>ve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vaccination status “as a condition of attendance</w:t>
      </w:r>
      <w:r w:rsidR="00E42C02" w:rsidRPr="00F616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B47B3D" w:rsidRPr="00F616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123DA" w:rsidRPr="00F6163C">
        <w:rPr>
          <w:rFonts w:ascii="Times New Roman" w:hAnsi="Times New Roman" w:cs="Times New Roman"/>
          <w:color w:val="000000"/>
          <w:sz w:val="28"/>
          <w:szCs w:val="28"/>
        </w:rPr>
        <w:t>f that vaccination was not required on December 31, 2020</w:t>
      </w:r>
      <w:r w:rsidR="00E42C0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. The effect is to block these institutions from requiring COVID-19 Vaccines for students. </w:t>
      </w:r>
      <w:r w:rsidR="003E3D51" w:rsidRPr="00F6163C">
        <w:rPr>
          <w:rFonts w:ascii="Times New Roman" w:hAnsi="Times New Roman" w:cs="Times New Roman"/>
          <w:color w:val="000000"/>
          <w:sz w:val="28"/>
          <w:szCs w:val="28"/>
        </w:rPr>
        <w:t>There is no limit on</w:t>
      </w:r>
      <w:r w:rsidR="002D418C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D51" w:rsidRPr="00F6163C"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2D418C" w:rsidRPr="00F6163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3E3D51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definition of </w:t>
      </w:r>
      <w:r w:rsidR="005512B2" w:rsidRPr="00F6163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F75E0E" w:rsidRPr="00F616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5512B2" w:rsidRPr="00F6163C">
        <w:rPr>
          <w:rFonts w:ascii="Times New Roman" w:hAnsi="Times New Roman" w:cs="Times New Roman"/>
          <w:color w:val="000000"/>
          <w:sz w:val="28"/>
          <w:szCs w:val="28"/>
        </w:rPr>
        <w:t>nstitution</w:t>
      </w:r>
      <w:r w:rsidR="00664986" w:rsidRPr="00F6163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5512B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r w:rsidR="00F75E0E" w:rsidRPr="00F6163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5512B2" w:rsidRPr="00F6163C">
        <w:rPr>
          <w:rFonts w:ascii="Times New Roman" w:hAnsi="Times New Roman" w:cs="Times New Roman"/>
          <w:color w:val="000000"/>
          <w:sz w:val="28"/>
          <w:szCs w:val="28"/>
        </w:rPr>
        <w:t>ducation” or “</w:t>
      </w:r>
      <w:r w:rsidR="003E3D51" w:rsidRPr="00F6163C">
        <w:rPr>
          <w:rFonts w:ascii="Times New Roman" w:hAnsi="Times New Roman" w:cs="Times New Roman"/>
          <w:color w:val="000000"/>
          <w:sz w:val="28"/>
          <w:szCs w:val="28"/>
        </w:rPr>
        <w:t>student</w:t>
      </w:r>
      <w:r w:rsidR="005512B2" w:rsidRPr="00F6163C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E3D51" w:rsidRPr="00F6163C">
        <w:rPr>
          <w:rFonts w:ascii="Times New Roman" w:hAnsi="Times New Roman" w:cs="Times New Roman"/>
          <w:color w:val="000000"/>
          <w:sz w:val="28"/>
          <w:szCs w:val="28"/>
        </w:rPr>
        <w:t>, therefore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this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provision </w:t>
      </w:r>
      <w:r w:rsidR="0014730B" w:rsidRPr="00F6163C">
        <w:rPr>
          <w:rFonts w:ascii="Times New Roman" w:hAnsi="Times New Roman" w:cs="Times New Roman"/>
          <w:color w:val="000000"/>
          <w:sz w:val="28"/>
          <w:szCs w:val="28"/>
        </w:rPr>
        <w:t>includes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68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public and private 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>K-12</w:t>
      </w:r>
      <w:r w:rsidR="0014730B" w:rsidRPr="00F616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72DA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college level, and medical schools of all levels</w:t>
      </w:r>
      <w:r w:rsidR="00BB19FB" w:rsidRPr="00F616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30B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515AB" w:rsidRPr="00F6163C">
        <w:rPr>
          <w:rFonts w:ascii="Times New Roman" w:hAnsi="Times New Roman" w:cs="Times New Roman"/>
          <w:color w:val="000000"/>
          <w:sz w:val="28"/>
          <w:szCs w:val="28"/>
        </w:rPr>
        <w:t>PNA p.</w:t>
      </w:r>
      <w:r w:rsidR="0014730B" w:rsidRPr="00F6163C">
        <w:rPr>
          <w:rFonts w:ascii="Times New Roman" w:hAnsi="Times New Roman" w:cs="Times New Roman"/>
          <w:color w:val="000000"/>
          <w:sz w:val="28"/>
          <w:szCs w:val="28"/>
        </w:rPr>
        <w:t>1-4)</w:t>
      </w:r>
      <w:r w:rsidR="00C014EA" w:rsidRPr="00F616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7C2D99" w14:textId="77777777" w:rsidR="007472DA" w:rsidRPr="00F6163C" w:rsidRDefault="007472DA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EE41EA" w14:textId="3B30EAAB" w:rsidR="007472DA" w:rsidRPr="00F6163C" w:rsidRDefault="007472DA" w:rsidP="007472DA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“A “condition of attendance” may be reasonably interpreted as an impediment to a student’s progression or completion of coursework or educational attainment. An institution of education should reasonably and meaningfully accommodate students who choose not to receive the </w:t>
      </w:r>
      <w:r w:rsidR="00A75C7C" w:rsidRPr="00F6163C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-19 vaccination, much as it would a student claiming a medical or religious exemption from any other required vaccine</w:t>
      </w:r>
      <w:r w:rsidR="00BC77BB" w:rsidRPr="00F6163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- because proof of immunization cannot be required as a condition of attendance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-the</w:t>
      </w:r>
      <w:r w:rsidR="00363C57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 policies 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could not be enforced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against those who choose not to provide their immunization status.” </w:t>
      </w:r>
      <w:r w:rsidR="0014730B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EF4F54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PNA p</w:t>
      </w:r>
      <w:r w:rsidR="003E3DED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. 2)</w:t>
      </w:r>
      <w:r w:rsidR="00C014EA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182FC0B" w14:textId="2BE87463" w:rsidR="001E63ED" w:rsidRPr="00F6163C" w:rsidRDefault="001E63ED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22F0CAB" w14:textId="70991366" w:rsidR="0019751C" w:rsidRPr="00F6163C" w:rsidRDefault="004B74D6" w:rsidP="005D2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="0019751C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9751C" w:rsidRPr="00F6163C">
        <w:rPr>
          <w:rFonts w:ascii="Times New Roman" w:hAnsi="Times New Roman" w:cs="Times New Roman"/>
          <w:b/>
          <w:color w:val="000000"/>
          <w:sz w:val="28"/>
          <w:szCs w:val="28"/>
        </w:rPr>
        <w:tab/>
        <w:t>Prohibition of Vaccine Status for Goods and Services</w:t>
      </w:r>
    </w:p>
    <w:p w14:paraId="7D0C1096" w14:textId="77777777" w:rsidR="00397226" w:rsidRPr="00F6163C" w:rsidRDefault="00397226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164FD6D" w14:textId="47D657C6" w:rsidR="001E63ED" w:rsidRPr="00F6163C" w:rsidRDefault="001E63ED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Finally, </w:t>
      </w:r>
      <w:r w:rsidR="003A336C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private institutions of education must comply with Section 1(d) of the Act. </w:t>
      </w:r>
      <w:r w:rsidR="00250E23" w:rsidRPr="00F6163C">
        <w:rPr>
          <w:rFonts w:ascii="Times New Roman" w:hAnsi="Times New Roman" w:cs="Times New Roman"/>
          <w:color w:val="000000"/>
          <w:sz w:val="28"/>
          <w:szCs w:val="28"/>
        </w:rPr>
        <w:t>The Attorney General points out that</w:t>
      </w:r>
      <w:r w:rsidR="005A4706" w:rsidRPr="00F6163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96BCB67" w14:textId="47670316" w:rsidR="00250E23" w:rsidRPr="00F6163C" w:rsidRDefault="00250E23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5EE4692" w14:textId="2DC4CAED" w:rsidR="00250E23" w:rsidRPr="00F6163C" w:rsidRDefault="00250E23" w:rsidP="00250E2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Similarly, a pr</w:t>
      </w:r>
      <w:r w:rsidR="00841C32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vate school </w:t>
      </w:r>
      <w:r w:rsidR="00423AC1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may not refuse to provide any goods or services, or refuse to allow admission to a customer</w:t>
      </w:r>
      <w:r w:rsidR="00D95555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-including a student</w:t>
      </w:r>
      <w:proofErr w:type="gramStart"/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95555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proofErr w:type="gramEnd"/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based on the customer’s immunization.</w:t>
      </w:r>
      <w:r w:rsidR="00841C32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841C32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With the exception that the institution may require a vaccine that it required as a condition for attendance on or before </w:t>
      </w:r>
      <w:r w:rsidR="00841C32" w:rsidRPr="00F6163C">
        <w:rPr>
          <w:rFonts w:ascii="Times New Roman" w:hAnsi="Times New Roman" w:cs="Times New Roman"/>
          <w:color w:val="000000"/>
          <w:sz w:val="28"/>
          <w:szCs w:val="28"/>
        </w:rPr>
        <w:lastRenderedPageBreak/>
        <w:t>January 1, 2021.</w:t>
      </w:r>
      <w:r w:rsidR="00D95555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Id. § 1(c)-(d)</w:t>
      </w:r>
      <w:r w:rsidR="00841C32" w:rsidRPr="00F6163C">
        <w:rPr>
          <w:rFonts w:ascii="Times New Roman" w:hAnsi="Times New Roman" w:cs="Times New Roman"/>
          <w:color w:val="000000"/>
          <w:sz w:val="28"/>
          <w:szCs w:val="28"/>
        </w:rPr>
        <w:t>” (</w:t>
      </w:r>
      <w:r w:rsidR="00EF4F54" w:rsidRPr="00F6163C">
        <w:rPr>
          <w:rFonts w:ascii="Times New Roman" w:hAnsi="Times New Roman" w:cs="Times New Roman"/>
          <w:color w:val="000000"/>
          <w:sz w:val="28"/>
          <w:szCs w:val="28"/>
        </w:rPr>
        <w:t>PNA p.</w:t>
      </w:r>
      <w:r w:rsidR="00DD4453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2)</w:t>
      </w:r>
      <w:r w:rsidR="00B72996" w:rsidRPr="00F616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98E" w:rsidRPr="00F616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7FB9B4F" w14:textId="77777777" w:rsidR="00F76E7E" w:rsidRPr="00F6163C" w:rsidRDefault="0066698E" w:rsidP="00F76E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The Attorn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y General stated, </w:t>
      </w:r>
    </w:p>
    <w:p w14:paraId="406D1C6E" w14:textId="77777777" w:rsidR="00F76E7E" w:rsidRPr="00F6163C" w:rsidRDefault="00F76E7E" w:rsidP="00250E2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A74B49" w14:textId="178B4CEC" w:rsidR="0066698E" w:rsidRPr="00F6163C" w:rsidRDefault="0066698E" w:rsidP="00250E2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“We have rec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ived reports of an education institution requiring each student to submit documentation sh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ng that he or she has rec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ived a C</w:t>
      </w:r>
      <w:r w:rsidR="00A75C7C" w:rsidRPr="00F6163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VID-19 vaccination 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efore the student is permitted to return to campus for the Fall 2021 semester. Such a po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icy is a </w:t>
      </w:r>
      <w:r w:rsidRPr="00F616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clear violation 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of Act 2021</w:t>
      </w:r>
      <w:r w:rsidR="00F34985" w:rsidRPr="00F6163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493</w:t>
      </w:r>
      <w:r w:rsidR="00F34985" w:rsidRPr="00F616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, whether implemented by a private or public institution.” (</w:t>
      </w:r>
      <w:r w:rsidR="00EF4F54" w:rsidRPr="00F6163C">
        <w:rPr>
          <w:rFonts w:ascii="Times New Roman" w:hAnsi="Times New Roman" w:cs="Times New Roman"/>
          <w:color w:val="000000"/>
          <w:sz w:val="28"/>
          <w:szCs w:val="28"/>
        </w:rPr>
        <w:t>PNA p</w:t>
      </w:r>
      <w:r w:rsidR="00047736" w:rsidRPr="00F6163C">
        <w:rPr>
          <w:rFonts w:ascii="Times New Roman" w:hAnsi="Times New Roman" w:cs="Times New Roman"/>
          <w:color w:val="000000"/>
          <w:sz w:val="28"/>
          <w:szCs w:val="28"/>
        </w:rPr>
        <w:t>. 2).</w:t>
      </w:r>
    </w:p>
    <w:p w14:paraId="2512C3CE" w14:textId="77777777" w:rsidR="00841C32" w:rsidRPr="00F6163C" w:rsidRDefault="00841C32" w:rsidP="00250E2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B2A8A2" w14:textId="2D10C509" w:rsidR="00E105FA" w:rsidRPr="00F6163C" w:rsidRDefault="00E105FA" w:rsidP="00E105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Therefore, an institution of education may issue vaccine policies, but it may not require proof of vaccination</w:t>
      </w:r>
      <w:r w:rsidR="00523B5C" w:rsidRPr="00F6163C">
        <w:rPr>
          <w:rFonts w:ascii="Times New Roman" w:hAnsi="Times New Roman" w:cs="Times New Roman"/>
          <w:color w:val="000000"/>
          <w:sz w:val="28"/>
          <w:szCs w:val="28"/>
        </w:rPr>
        <w:t>. T</w:t>
      </w:r>
      <w:r w:rsidR="00D533ED" w:rsidRPr="00F6163C">
        <w:rPr>
          <w:rFonts w:ascii="Times New Roman" w:hAnsi="Times New Roman" w:cs="Times New Roman"/>
          <w:color w:val="000000"/>
          <w:sz w:val="28"/>
          <w:szCs w:val="28"/>
        </w:rPr>
        <w:t>hereby the act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prevents discrimination and enforcement. </w:t>
      </w:r>
    </w:p>
    <w:p w14:paraId="3868E85F" w14:textId="77777777" w:rsidR="0086397C" w:rsidRPr="00F6163C" w:rsidRDefault="0086397C" w:rsidP="005D2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63BB4A" w14:textId="3205622C" w:rsidR="00523B5C" w:rsidRPr="00F6163C" w:rsidRDefault="00523B5C" w:rsidP="005D2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>E.</w:t>
      </w:r>
      <w:r w:rsidRPr="00F6163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D27D0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Confidential</w:t>
      </w:r>
      <w:r w:rsidR="00D02923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ity of</w:t>
      </w:r>
      <w:r w:rsidR="005D27D0" w:rsidRPr="00F61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State </w:t>
      </w:r>
      <w:r w:rsidR="00D02923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Immunization R</w:t>
      </w:r>
      <w:r w:rsidR="005D27D0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egistry</w:t>
      </w:r>
    </w:p>
    <w:p w14:paraId="49A6DB96" w14:textId="77777777" w:rsidR="00523B5C" w:rsidRPr="00F6163C" w:rsidRDefault="00523B5C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A14CF7C" w14:textId="616C2A30" w:rsidR="005D27D0" w:rsidRPr="00F6163C" w:rsidRDefault="001A4F40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smallCaps/>
          <w:color w:val="000000"/>
          <w:sz w:val="28"/>
          <w:szCs w:val="28"/>
        </w:rPr>
        <w:t>Ala. Code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§§ 22-11B-1 and 2 establish a registry of immunization information maintained by the Alabama Department of </w:t>
      </w:r>
      <w:r w:rsidR="006471D7" w:rsidRPr="00F6163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ublic Heath (“ADPH”), and provided for ADPH to establish rules protecting the confidentiality of information collected there.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On</w:t>
      </w:r>
      <w:r w:rsidR="005A4706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>September 8, 2021, A</w:t>
      </w:r>
      <w:r w:rsidR="005A4706" w:rsidRPr="00F6163C">
        <w:rPr>
          <w:rFonts w:ascii="Times New Roman" w:hAnsi="Times New Roman" w:cs="Times New Roman"/>
          <w:color w:val="000000"/>
          <w:sz w:val="28"/>
          <w:szCs w:val="28"/>
        </w:rPr>
        <w:t>ttorney General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Steve Marshall </w:t>
      </w:r>
      <w:r w:rsidR="00523B5C" w:rsidRPr="00F6163C">
        <w:rPr>
          <w:rFonts w:ascii="Times New Roman" w:hAnsi="Times New Roman" w:cs="Times New Roman"/>
          <w:color w:val="000000"/>
          <w:sz w:val="28"/>
          <w:szCs w:val="28"/>
        </w:rPr>
        <w:t>issued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a press release, </w:t>
      </w:r>
      <w:r w:rsidR="00523B5C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and declared 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it unlawful for healthcare employers, </w:t>
      </w:r>
      <w:r w:rsidR="005D27D0" w:rsidRPr="00F6163C">
        <w:rPr>
          <w:rFonts w:ascii="Times New Roman" w:hAnsi="Times New Roman" w:cs="Times New Roman"/>
          <w:b/>
          <w:color w:val="000000"/>
          <w:sz w:val="28"/>
          <w:szCs w:val="28"/>
        </w:rPr>
        <w:t>both public or private</w:t>
      </w:r>
      <w:r w:rsidR="005D27D0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, to obtain employee information regarding COVID-19 vaccination status using the Alabama state immunization registry. </w:t>
      </w:r>
      <w:r w:rsidR="006471D7" w:rsidRPr="00F6163C">
        <w:rPr>
          <w:rFonts w:ascii="Times New Roman" w:hAnsi="Times New Roman" w:cs="Times New Roman"/>
          <w:color w:val="000000"/>
          <w:sz w:val="28"/>
          <w:szCs w:val="28"/>
        </w:rPr>
        <w:t>Marshall advised that an employer had improperly accessed the registry and</w:t>
      </w:r>
      <w:r w:rsidR="00350488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0B2" w:rsidRPr="00F6163C">
        <w:rPr>
          <w:rFonts w:ascii="Times New Roman" w:hAnsi="Times New Roman" w:cs="Times New Roman"/>
          <w:color w:val="000000"/>
          <w:sz w:val="28"/>
          <w:szCs w:val="28"/>
        </w:rPr>
        <w:t>directed that</w:t>
      </w:r>
      <w:r w:rsidR="006471D7" w:rsidRPr="00F6163C">
        <w:rPr>
          <w:rFonts w:ascii="Times New Roman" w:hAnsi="Times New Roman" w:cs="Times New Roman"/>
          <w:color w:val="000000"/>
          <w:sz w:val="28"/>
          <w:szCs w:val="28"/>
        </w:rPr>
        <w:t xml:space="preserve"> it be halted.</w:t>
      </w:r>
    </w:p>
    <w:p w14:paraId="76AF963A" w14:textId="49232F0C" w:rsidR="006471D7" w:rsidRPr="00F6163C" w:rsidRDefault="006471D7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5D0C27D" w14:textId="0D1E03A5" w:rsidR="006471D7" w:rsidRPr="00F6163C" w:rsidRDefault="006471D7" w:rsidP="005D27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color w:val="000000"/>
          <w:sz w:val="28"/>
          <w:szCs w:val="28"/>
        </w:rPr>
        <w:t>If your employer has advised you of your vaccination status, you may want to see how your employer acquired that knowledge. Even though a private employer is not prohibited by the Vaccine Passport Ban from requiring its employees to be vaccinated, the registry is not available for employers to check on its emp</w:t>
      </w:r>
      <w:r w:rsidR="007A5E93" w:rsidRPr="00F6163C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F6163C">
        <w:rPr>
          <w:rFonts w:ascii="Times New Roman" w:hAnsi="Times New Roman" w:cs="Times New Roman"/>
          <w:color w:val="000000"/>
          <w:sz w:val="28"/>
          <w:szCs w:val="28"/>
        </w:rPr>
        <w:t>oyees.</w:t>
      </w:r>
    </w:p>
    <w:p w14:paraId="044E9EB9" w14:textId="77777777" w:rsidR="005D27D0" w:rsidRPr="00F6163C" w:rsidRDefault="005D27D0" w:rsidP="007472D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42A2CB" w14:textId="5D72F20F" w:rsidR="007472DA" w:rsidRPr="00F6163C" w:rsidRDefault="0019751C" w:rsidP="007472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523B5C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  <w:r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5E93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OVERALL</w:t>
      </w:r>
      <w:r w:rsidR="0041632E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A1CB6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MANDAT</w:t>
      </w:r>
      <w:r w:rsidR="008D0763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ORY </w:t>
      </w:r>
      <w:r w:rsidR="00A44850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COVID-19 </w:t>
      </w:r>
      <w:r w:rsidR="008D0763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VACCINES </w:t>
      </w:r>
      <w:r w:rsidR="00407BD9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</w:t>
      </w:r>
      <w:r w:rsidR="007A5E93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DIFFICULT TO </w:t>
      </w:r>
      <w:r w:rsidR="002D1EBE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A5E93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ENFORCE</w:t>
      </w:r>
      <w:r w:rsidR="00407BD9" w:rsidRPr="00F61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 ALABAMA</w:t>
      </w:r>
    </w:p>
    <w:p w14:paraId="1610D7E0" w14:textId="1F3679EE" w:rsidR="00CE4A12" w:rsidRPr="00F6163C" w:rsidRDefault="00CE4A1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AA5EE02" w14:textId="75D39493" w:rsidR="00B33892" w:rsidRPr="00F6163C" w:rsidRDefault="007472D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Before you</w:t>
      </w:r>
      <w:r w:rsidR="008D0763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take a</w:t>
      </w:r>
      <w:r w:rsidR="00CA654E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 unwanted</w:t>
      </w:r>
      <w:r w:rsidR="008D0763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COVID-19 </w:t>
      </w:r>
      <w:r w:rsidR="0035439E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shot</w:t>
      </w:r>
      <w:r w:rsidR="008D0763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or </w:t>
      </w:r>
      <w:r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share y</w:t>
      </w:r>
      <w:r w:rsidR="004C2C80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ur </w:t>
      </w:r>
      <w:r w:rsidR="00E105FA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COVID-19 </w:t>
      </w:r>
      <w:r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immunization status with anyone, including your supervisor, </w:t>
      </w:r>
      <w:r w:rsidR="00154930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or </w:t>
      </w:r>
      <w:r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employer, ask your attorney</w:t>
      </w:r>
      <w:r w:rsidR="008D0763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what are your rights</w:t>
      </w:r>
      <w:r w:rsidR="00A44850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under the law</w:t>
      </w:r>
      <w:r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105FA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E5ADD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You have rights under </w:t>
      </w:r>
      <w:r w:rsidR="001D1967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Alabama s</w:t>
      </w:r>
      <w:r w:rsidR="008E5ADD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tat</w:t>
      </w:r>
      <w:r w:rsidR="001D1967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8E5ADD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law, as well as federal anti-discrimination law, providing exem</w:t>
      </w:r>
      <w:r w:rsidR="004C2C80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="008E5ADD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tion</w:t>
      </w:r>
      <w:r w:rsidR="004C2C80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due to health disability and </w:t>
      </w:r>
      <w:r w:rsidR="001D1967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sincerely held religious beliefs</w:t>
      </w:r>
      <w:r w:rsidR="004C2C80" w:rsidRPr="00F616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52A426C" w14:textId="7143150E" w:rsidR="008E5ADD" w:rsidRPr="00F6163C" w:rsidRDefault="008E5A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8BA29D" w14:textId="48EA237F" w:rsidR="008E5ADD" w:rsidRPr="00F6163C" w:rsidRDefault="008E5A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63C">
        <w:rPr>
          <w:rFonts w:ascii="Times New Roman" w:hAnsi="Times New Roman" w:cs="Times New Roman"/>
          <w:color w:val="000000" w:themeColor="text1"/>
          <w:sz w:val="28"/>
          <w:szCs w:val="28"/>
        </w:rPr>
        <w:t>The Attorney General summed up his position on enforcing mandatory COVID-19 vaccinations. He said, “It is not necessary for an individual to claim a religious (or medical, for that matter) exemption to avoid mandatory vaccination for COVID-19 in the circumstances covered by the Act 2021-493.” (PNJ p.3)</w:t>
      </w:r>
    </w:p>
    <w:sectPr w:rsidR="008E5ADD" w:rsidRPr="00F6163C" w:rsidSect="00F6163C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A129" w14:textId="77777777" w:rsidR="00A56D39" w:rsidRDefault="00A56D39" w:rsidP="00CD687D">
      <w:r>
        <w:separator/>
      </w:r>
    </w:p>
  </w:endnote>
  <w:endnote w:type="continuationSeparator" w:id="0">
    <w:p w14:paraId="7A79A187" w14:textId="77777777" w:rsidR="00A56D39" w:rsidRDefault="00A56D39" w:rsidP="00C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3660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8D6FB" w14:textId="4C5C67FD" w:rsidR="00CD687D" w:rsidRDefault="00CD687D" w:rsidP="00CD74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E89F01" w14:textId="77777777" w:rsidR="00CD687D" w:rsidRDefault="00CD687D" w:rsidP="00CD68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0489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385A2" w14:textId="3653B5C4" w:rsidR="00CD687D" w:rsidRDefault="00CD687D" w:rsidP="00CD74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B31D5" w14:textId="77777777" w:rsidR="00CD687D" w:rsidRDefault="00CD687D" w:rsidP="00CD68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58C6" w14:textId="77777777" w:rsidR="00A56D39" w:rsidRDefault="00A56D39" w:rsidP="00CD687D">
      <w:r>
        <w:separator/>
      </w:r>
    </w:p>
  </w:footnote>
  <w:footnote w:type="continuationSeparator" w:id="0">
    <w:p w14:paraId="1C48ACA8" w14:textId="77777777" w:rsidR="00A56D39" w:rsidRDefault="00A56D39" w:rsidP="00CD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A"/>
    <w:rsid w:val="00000BEB"/>
    <w:rsid w:val="00025040"/>
    <w:rsid w:val="000269D8"/>
    <w:rsid w:val="00034603"/>
    <w:rsid w:val="000365E5"/>
    <w:rsid w:val="00041896"/>
    <w:rsid w:val="00045D88"/>
    <w:rsid w:val="00046FE2"/>
    <w:rsid w:val="00047736"/>
    <w:rsid w:val="0005666A"/>
    <w:rsid w:val="00057F81"/>
    <w:rsid w:val="000606AF"/>
    <w:rsid w:val="000610B2"/>
    <w:rsid w:val="00073C0D"/>
    <w:rsid w:val="000A65C7"/>
    <w:rsid w:val="000B132B"/>
    <w:rsid w:val="000C1C8C"/>
    <w:rsid w:val="000D6FFD"/>
    <w:rsid w:val="00107D82"/>
    <w:rsid w:val="00111F8F"/>
    <w:rsid w:val="00126FD0"/>
    <w:rsid w:val="001328ED"/>
    <w:rsid w:val="00141067"/>
    <w:rsid w:val="0014730B"/>
    <w:rsid w:val="001476D5"/>
    <w:rsid w:val="00152D5F"/>
    <w:rsid w:val="00152D75"/>
    <w:rsid w:val="00153A30"/>
    <w:rsid w:val="00154930"/>
    <w:rsid w:val="0019751C"/>
    <w:rsid w:val="001A4C5B"/>
    <w:rsid w:val="001A4F40"/>
    <w:rsid w:val="001C1273"/>
    <w:rsid w:val="001D1967"/>
    <w:rsid w:val="001E559D"/>
    <w:rsid w:val="001E63ED"/>
    <w:rsid w:val="001F5C57"/>
    <w:rsid w:val="00234D1E"/>
    <w:rsid w:val="00235C70"/>
    <w:rsid w:val="00243CD6"/>
    <w:rsid w:val="00250E23"/>
    <w:rsid w:val="002634FD"/>
    <w:rsid w:val="00265A61"/>
    <w:rsid w:val="00276802"/>
    <w:rsid w:val="00297B17"/>
    <w:rsid w:val="002D1C45"/>
    <w:rsid w:val="002D1EBE"/>
    <w:rsid w:val="002D2A24"/>
    <w:rsid w:val="002D3609"/>
    <w:rsid w:val="002D418C"/>
    <w:rsid w:val="002F0BEB"/>
    <w:rsid w:val="00313DFA"/>
    <w:rsid w:val="003156DE"/>
    <w:rsid w:val="003264F4"/>
    <w:rsid w:val="003317FF"/>
    <w:rsid w:val="00350488"/>
    <w:rsid w:val="00350E62"/>
    <w:rsid w:val="0035439E"/>
    <w:rsid w:val="00354FBC"/>
    <w:rsid w:val="00363C57"/>
    <w:rsid w:val="00397226"/>
    <w:rsid w:val="003A0B04"/>
    <w:rsid w:val="003A336C"/>
    <w:rsid w:val="003B4784"/>
    <w:rsid w:val="003E3D51"/>
    <w:rsid w:val="003E3DED"/>
    <w:rsid w:val="003F7001"/>
    <w:rsid w:val="00404C26"/>
    <w:rsid w:val="00407BD9"/>
    <w:rsid w:val="0041632E"/>
    <w:rsid w:val="0041765A"/>
    <w:rsid w:val="00423AC1"/>
    <w:rsid w:val="0043259A"/>
    <w:rsid w:val="00491E57"/>
    <w:rsid w:val="00495B03"/>
    <w:rsid w:val="004B0DF4"/>
    <w:rsid w:val="004B3EBD"/>
    <w:rsid w:val="004B74D6"/>
    <w:rsid w:val="004C2C80"/>
    <w:rsid w:val="004D2741"/>
    <w:rsid w:val="004E1A4B"/>
    <w:rsid w:val="00500E2E"/>
    <w:rsid w:val="00523B5C"/>
    <w:rsid w:val="00525D1B"/>
    <w:rsid w:val="005512B2"/>
    <w:rsid w:val="00556A75"/>
    <w:rsid w:val="00560FFC"/>
    <w:rsid w:val="00575B0E"/>
    <w:rsid w:val="005A4706"/>
    <w:rsid w:val="005B3F68"/>
    <w:rsid w:val="005C448E"/>
    <w:rsid w:val="005D2165"/>
    <w:rsid w:val="005D27D0"/>
    <w:rsid w:val="005E48B2"/>
    <w:rsid w:val="005F1DE1"/>
    <w:rsid w:val="0060590E"/>
    <w:rsid w:val="00611960"/>
    <w:rsid w:val="00645758"/>
    <w:rsid w:val="006471D7"/>
    <w:rsid w:val="00650FCA"/>
    <w:rsid w:val="00652C1B"/>
    <w:rsid w:val="00660A2F"/>
    <w:rsid w:val="0066171A"/>
    <w:rsid w:val="00664986"/>
    <w:rsid w:val="0066698E"/>
    <w:rsid w:val="006805E9"/>
    <w:rsid w:val="006C4CAD"/>
    <w:rsid w:val="006C67AE"/>
    <w:rsid w:val="007026BA"/>
    <w:rsid w:val="007028B7"/>
    <w:rsid w:val="00714E0F"/>
    <w:rsid w:val="007159A8"/>
    <w:rsid w:val="007341B4"/>
    <w:rsid w:val="007472DA"/>
    <w:rsid w:val="00751984"/>
    <w:rsid w:val="007524B7"/>
    <w:rsid w:val="00794E4F"/>
    <w:rsid w:val="00795B1E"/>
    <w:rsid w:val="007A5E93"/>
    <w:rsid w:val="007C425E"/>
    <w:rsid w:val="00800434"/>
    <w:rsid w:val="00801FD7"/>
    <w:rsid w:val="00841C32"/>
    <w:rsid w:val="008537C0"/>
    <w:rsid w:val="00857CCB"/>
    <w:rsid w:val="0086397C"/>
    <w:rsid w:val="0087642F"/>
    <w:rsid w:val="00880176"/>
    <w:rsid w:val="00880930"/>
    <w:rsid w:val="00881DD3"/>
    <w:rsid w:val="008D0763"/>
    <w:rsid w:val="008D3B10"/>
    <w:rsid w:val="008E5ADD"/>
    <w:rsid w:val="00914AA7"/>
    <w:rsid w:val="0091594B"/>
    <w:rsid w:val="00924675"/>
    <w:rsid w:val="009255D0"/>
    <w:rsid w:val="009412EA"/>
    <w:rsid w:val="00951950"/>
    <w:rsid w:val="00963B39"/>
    <w:rsid w:val="00965580"/>
    <w:rsid w:val="00966CCA"/>
    <w:rsid w:val="00984F59"/>
    <w:rsid w:val="00987E92"/>
    <w:rsid w:val="009909FA"/>
    <w:rsid w:val="009A3452"/>
    <w:rsid w:val="009B13D8"/>
    <w:rsid w:val="009D22B7"/>
    <w:rsid w:val="00A44850"/>
    <w:rsid w:val="00A56D39"/>
    <w:rsid w:val="00A64645"/>
    <w:rsid w:val="00A67961"/>
    <w:rsid w:val="00A75C7C"/>
    <w:rsid w:val="00AB0676"/>
    <w:rsid w:val="00AB0884"/>
    <w:rsid w:val="00B13194"/>
    <w:rsid w:val="00B145BF"/>
    <w:rsid w:val="00B34A15"/>
    <w:rsid w:val="00B42EF9"/>
    <w:rsid w:val="00B47B3D"/>
    <w:rsid w:val="00B72996"/>
    <w:rsid w:val="00B87212"/>
    <w:rsid w:val="00BA617F"/>
    <w:rsid w:val="00BB16B6"/>
    <w:rsid w:val="00BB19FB"/>
    <w:rsid w:val="00BC77BB"/>
    <w:rsid w:val="00BE7281"/>
    <w:rsid w:val="00BF2980"/>
    <w:rsid w:val="00C014EA"/>
    <w:rsid w:val="00C07495"/>
    <w:rsid w:val="00C132D2"/>
    <w:rsid w:val="00C150D6"/>
    <w:rsid w:val="00C2182E"/>
    <w:rsid w:val="00C25F16"/>
    <w:rsid w:val="00C45E30"/>
    <w:rsid w:val="00C564BD"/>
    <w:rsid w:val="00C6026B"/>
    <w:rsid w:val="00C62339"/>
    <w:rsid w:val="00C72591"/>
    <w:rsid w:val="00C7701F"/>
    <w:rsid w:val="00C911AA"/>
    <w:rsid w:val="00CA4543"/>
    <w:rsid w:val="00CA654E"/>
    <w:rsid w:val="00CB4654"/>
    <w:rsid w:val="00CD687D"/>
    <w:rsid w:val="00CE4A12"/>
    <w:rsid w:val="00CE6B5A"/>
    <w:rsid w:val="00D01D28"/>
    <w:rsid w:val="00D02923"/>
    <w:rsid w:val="00D123DA"/>
    <w:rsid w:val="00D26F8F"/>
    <w:rsid w:val="00D438CE"/>
    <w:rsid w:val="00D46DBF"/>
    <w:rsid w:val="00D533ED"/>
    <w:rsid w:val="00D70682"/>
    <w:rsid w:val="00D761F0"/>
    <w:rsid w:val="00D767BC"/>
    <w:rsid w:val="00D818BC"/>
    <w:rsid w:val="00D8758C"/>
    <w:rsid w:val="00D95555"/>
    <w:rsid w:val="00DB6FB6"/>
    <w:rsid w:val="00DC6BF8"/>
    <w:rsid w:val="00DD3662"/>
    <w:rsid w:val="00DD4453"/>
    <w:rsid w:val="00E105FA"/>
    <w:rsid w:val="00E3492F"/>
    <w:rsid w:val="00E42C02"/>
    <w:rsid w:val="00E466D0"/>
    <w:rsid w:val="00E515AB"/>
    <w:rsid w:val="00E859BE"/>
    <w:rsid w:val="00EA27EE"/>
    <w:rsid w:val="00EC6618"/>
    <w:rsid w:val="00ED59ED"/>
    <w:rsid w:val="00EE1ABE"/>
    <w:rsid w:val="00EE3ED4"/>
    <w:rsid w:val="00EF4E17"/>
    <w:rsid w:val="00EF4F54"/>
    <w:rsid w:val="00EF5828"/>
    <w:rsid w:val="00F12A46"/>
    <w:rsid w:val="00F30BB2"/>
    <w:rsid w:val="00F34985"/>
    <w:rsid w:val="00F45A57"/>
    <w:rsid w:val="00F503EA"/>
    <w:rsid w:val="00F6163C"/>
    <w:rsid w:val="00F74390"/>
    <w:rsid w:val="00F75E0E"/>
    <w:rsid w:val="00F76E7E"/>
    <w:rsid w:val="00F84037"/>
    <w:rsid w:val="00FA00D3"/>
    <w:rsid w:val="00FA1CB6"/>
    <w:rsid w:val="00FA2E4E"/>
    <w:rsid w:val="00FA56D0"/>
    <w:rsid w:val="00FD2FA7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A79C1"/>
  <w14:defaultImageDpi w14:val="32767"/>
  <w15:chartTrackingRefBased/>
  <w15:docId w15:val="{60096543-C03B-2449-915C-1C1111EF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2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6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7D"/>
  </w:style>
  <w:style w:type="character" w:styleId="PageNumber">
    <w:name w:val="page number"/>
    <w:basedOn w:val="DefaultParagraphFont"/>
    <w:uiPriority w:val="99"/>
    <w:semiHidden/>
    <w:unhideWhenUsed/>
    <w:rsid w:val="00CD687D"/>
  </w:style>
  <w:style w:type="character" w:styleId="Hyperlink">
    <w:name w:val="Hyperlink"/>
    <w:basedOn w:val="DefaultParagraphFont"/>
    <w:uiPriority w:val="99"/>
    <w:unhideWhenUsed/>
    <w:rsid w:val="00F12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pFcRbvDAYJEwSaWWAtulG4ktd7rOwwU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Margaret5 Clarke</dc:creator>
  <cp:keywords/>
  <dc:description/>
  <cp:lastModifiedBy>Margaret5 Clarke</cp:lastModifiedBy>
  <cp:revision>2</cp:revision>
  <cp:lastPrinted>2021-09-18T00:37:00Z</cp:lastPrinted>
  <dcterms:created xsi:type="dcterms:W3CDTF">2021-09-18T00:38:00Z</dcterms:created>
  <dcterms:modified xsi:type="dcterms:W3CDTF">2021-09-18T00:38:00Z</dcterms:modified>
</cp:coreProperties>
</file>